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8" w:rsidRPr="00962B89" w:rsidRDefault="00177DF2" w:rsidP="00962B89">
      <w:pPr>
        <w:ind w:right="3060"/>
        <w:rPr>
          <w:i/>
          <w:iCs/>
        </w:rPr>
      </w:pPr>
      <w:r w:rsidRPr="00177DF2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6.7pt;margin-top:1.8pt;width:424.9pt;height:135.3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LhggIAABA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" stroked="f">
            <v:textbox style="mso-fit-shape-to-text:t">
              <w:txbxContent>
                <w:p w:rsidR="00174928" w:rsidRDefault="00174928" w:rsidP="00174928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174928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How Patient Portals Create Value for Patients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–</w:t>
                  </w:r>
                  <w:r w:rsidRPr="00174928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74928" w:rsidRPr="00174928" w:rsidRDefault="00174928" w:rsidP="00174928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174928">
                    <w:rPr>
                      <w:rFonts w:ascii="Calibri" w:hAnsi="Calibri"/>
                      <w:b/>
                      <w:sz w:val="28"/>
                      <w:szCs w:val="28"/>
                    </w:rPr>
                    <w:t>and Fulfill Meaningful Use Requirements</w:t>
                  </w:r>
                </w:p>
                <w:p w:rsidR="00174928" w:rsidRPr="009C7817" w:rsidRDefault="00174928" w:rsidP="0017492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35E76">
                    <w:rPr>
                      <w:rFonts w:ascii="Calibri" w:hAnsi="Calibri"/>
                      <w:sz w:val="22"/>
                      <w:szCs w:val="22"/>
                    </w:rPr>
                    <w:t>By Elizabeth W. Woodcock, MBA, FACMPE, CPC</w:t>
                  </w:r>
                </w:p>
                <w:p w:rsidR="00174928" w:rsidRDefault="0017492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74928" w:rsidRPr="00174928" w:rsidRDefault="004E5ED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Elizabeth </w:t>
                  </w:r>
                  <w:r w:rsidR="00174928" w:rsidRPr="00174928">
                    <w:rPr>
                      <w:i/>
                      <w:sz w:val="20"/>
                      <w:szCs w:val="20"/>
                    </w:rPr>
                    <w:t>Woodcock is a highly regarded industry speaker, author and trainer focus</w:t>
                  </w:r>
                  <w:r>
                    <w:rPr>
                      <w:i/>
                      <w:sz w:val="20"/>
                      <w:szCs w:val="20"/>
                    </w:rPr>
                    <w:t>ing</w:t>
                  </w:r>
                  <w:r w:rsidR="00174928" w:rsidRPr="00174928">
                    <w:rPr>
                      <w:i/>
                      <w:sz w:val="20"/>
                      <w:szCs w:val="20"/>
                    </w:rPr>
                    <w:t xml:space="preserve"> on medical group operations and revenue cycle management for nearly 20 years.  </w:t>
                  </w:r>
                  <w:r>
                    <w:rPr>
                      <w:i/>
                      <w:sz w:val="20"/>
                      <w:szCs w:val="20"/>
                    </w:rPr>
                    <w:t>Ms. Woodcock</w:t>
                  </w:r>
                  <w:r w:rsidR="00174928" w:rsidRPr="00174928">
                    <w:rPr>
                      <w:i/>
                      <w:sz w:val="20"/>
                      <w:szCs w:val="20"/>
                    </w:rPr>
                    <w:t xml:space="preserve"> has led educational sessions for </w:t>
                  </w:r>
                  <w:r>
                    <w:rPr>
                      <w:i/>
                      <w:sz w:val="20"/>
                      <w:szCs w:val="20"/>
                    </w:rPr>
                    <w:t xml:space="preserve">many </w:t>
                  </w:r>
                  <w:r w:rsidR="00174928" w:rsidRPr="00174928">
                    <w:rPr>
                      <w:i/>
                      <w:sz w:val="20"/>
                      <w:szCs w:val="20"/>
                    </w:rPr>
                    <w:t xml:space="preserve">professional organizations </w:t>
                  </w:r>
                  <w:r>
                    <w:rPr>
                      <w:i/>
                      <w:sz w:val="20"/>
                      <w:szCs w:val="20"/>
                    </w:rPr>
                    <w:t>including</w:t>
                  </w:r>
                  <w:r w:rsidR="00174928" w:rsidRPr="00174928">
                    <w:rPr>
                      <w:i/>
                      <w:sz w:val="20"/>
                      <w:szCs w:val="20"/>
                    </w:rPr>
                    <w:t xml:space="preserve"> the MGMA and the AMA, and she has consulted a diverse group of physician practices. </w:t>
                  </w:r>
                  <w:r>
                    <w:rPr>
                      <w:i/>
                      <w:sz w:val="20"/>
                      <w:szCs w:val="20"/>
                    </w:rPr>
                    <w:t>T</w:t>
                  </w:r>
                  <w:r w:rsidR="00174928" w:rsidRPr="00174928">
                    <w:rPr>
                      <w:i/>
                      <w:sz w:val="20"/>
                      <w:szCs w:val="20"/>
                    </w:rPr>
                    <w:t>he author of several books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  <w:r w:rsidR="00174928" w:rsidRPr="00174928">
                    <w:rPr>
                      <w:i/>
                      <w:sz w:val="20"/>
                      <w:szCs w:val="20"/>
                    </w:rPr>
                    <w:t xml:space="preserve"> including “Mastering Patient Flow to Increase Efficiency and Earnings,” she is frequently published and quoted in national publications.</w:t>
                  </w:r>
                </w:p>
              </w:txbxContent>
            </v:textbox>
          </v:shape>
        </w:pict>
      </w:r>
      <w:r w:rsidR="002E1060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285875" cy="1771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28" w:rsidRDefault="004E5ED6" w:rsidP="00962B89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Below </w:t>
      </w:r>
      <w:r w:rsidR="00174928">
        <w:rPr>
          <w:rFonts w:ascii="Calibri" w:hAnsi="Calibri"/>
          <w:sz w:val="22"/>
          <w:szCs w:val="22"/>
        </w:rPr>
        <w:t>is an excerpt</w:t>
      </w:r>
      <w:r>
        <w:rPr>
          <w:rFonts w:ascii="Calibri" w:hAnsi="Calibri"/>
          <w:sz w:val="22"/>
          <w:szCs w:val="22"/>
        </w:rPr>
        <w:t xml:space="preserve"> of the white paper</w:t>
      </w:r>
      <w:r w:rsidR="00174928">
        <w:rPr>
          <w:rFonts w:ascii="Calibri" w:hAnsi="Calibri"/>
          <w:sz w:val="22"/>
          <w:szCs w:val="22"/>
        </w:rPr>
        <w:t xml:space="preserve">. To download the </w:t>
      </w:r>
      <w:r>
        <w:rPr>
          <w:rFonts w:ascii="Calibri" w:hAnsi="Calibri"/>
          <w:sz w:val="22"/>
          <w:szCs w:val="22"/>
        </w:rPr>
        <w:t>complete content</w:t>
      </w:r>
      <w:r w:rsidR="0017492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please </w:t>
      </w:r>
      <w:r w:rsidR="00C55F8D">
        <w:rPr>
          <w:rFonts w:ascii="Calibri" w:hAnsi="Calibri"/>
          <w:sz w:val="22"/>
          <w:szCs w:val="22"/>
        </w:rPr>
        <w:t>visit</w:t>
      </w:r>
      <w:r w:rsidR="00174928">
        <w:rPr>
          <w:rFonts w:ascii="Calibri" w:hAnsi="Calibri"/>
          <w:sz w:val="22"/>
          <w:szCs w:val="22"/>
        </w:rPr>
        <w:t xml:space="preserve"> </w:t>
      </w:r>
      <w:hyperlink r:id="rId9" w:history="1">
        <w:r w:rsidR="00174928" w:rsidRPr="00814529">
          <w:rPr>
            <w:rStyle w:val="Hyperlink"/>
            <w:rFonts w:ascii="Calibri" w:hAnsi="Calibri"/>
            <w:sz w:val="22"/>
            <w:szCs w:val="22"/>
          </w:rPr>
          <w:t>www.intuithealth.com/aafp</w:t>
        </w:r>
      </w:hyperlink>
      <w:r w:rsidR="00C55F8D">
        <w:rPr>
          <w:rFonts w:ascii="Calibri" w:hAnsi="Calibri"/>
          <w:sz w:val="22"/>
          <w:szCs w:val="22"/>
        </w:rPr>
        <w:t>.</w:t>
      </w:r>
    </w:p>
    <w:p w:rsidR="00C55F8D" w:rsidRDefault="00535E76" w:rsidP="00C55F8D">
      <w:pPr>
        <w:pStyle w:val="NoSpacing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535E76">
        <w:rPr>
          <w:rFonts w:ascii="Calibri" w:hAnsi="Calibri"/>
          <w:b/>
          <w:sz w:val="22"/>
          <w:szCs w:val="22"/>
          <w:u w:val="single"/>
        </w:rPr>
        <w:t>Patient Portals: Background</w:t>
      </w:r>
    </w:p>
    <w:p w:rsidR="009C7817" w:rsidRPr="00C55F8D" w:rsidRDefault="00535E76" w:rsidP="00C55F8D">
      <w:pPr>
        <w:pStyle w:val="NoSpacing"/>
        <w:spacing w:before="0" w:beforeAutospacing="0" w:after="120" w:afterAutospacing="0"/>
        <w:rPr>
          <w:rFonts w:ascii="Calibri" w:hAnsi="Calibri"/>
          <w:b/>
          <w:sz w:val="22"/>
          <w:szCs w:val="22"/>
          <w:u w:val="single"/>
        </w:rPr>
      </w:pPr>
      <w:r w:rsidRPr="00535E76">
        <w:rPr>
          <w:rFonts w:ascii="Calibri" w:hAnsi="Calibri"/>
          <w:sz w:val="22"/>
          <w:szCs w:val="22"/>
        </w:rPr>
        <w:t>A patient portal looks much like a Web</w:t>
      </w:r>
      <w:r w:rsidR="004E5ED6">
        <w:rPr>
          <w:rFonts w:ascii="Calibri" w:hAnsi="Calibri"/>
          <w:sz w:val="22"/>
          <w:szCs w:val="22"/>
        </w:rPr>
        <w:t xml:space="preserve"> </w:t>
      </w:r>
      <w:r w:rsidRPr="00535E76">
        <w:rPr>
          <w:rFonts w:ascii="Calibri" w:hAnsi="Calibri"/>
          <w:sz w:val="22"/>
          <w:szCs w:val="22"/>
        </w:rPr>
        <w:t>site, but the similarities end there. A Web</w:t>
      </w:r>
      <w:r w:rsidR="004E5ED6">
        <w:rPr>
          <w:rFonts w:ascii="Calibri" w:hAnsi="Calibri"/>
          <w:sz w:val="22"/>
          <w:szCs w:val="22"/>
        </w:rPr>
        <w:t xml:space="preserve"> </w:t>
      </w:r>
      <w:r w:rsidRPr="00535E76">
        <w:rPr>
          <w:rFonts w:ascii="Calibri" w:hAnsi="Calibri"/>
          <w:sz w:val="22"/>
          <w:szCs w:val="22"/>
        </w:rPr>
        <w:t xml:space="preserve">site offers a static user experience while a Web-based patient portal is a gateway into a medical practice for patients. A portal provides a secure, HIPAA-compliant, two-way communication channel between patients and their health care providers. </w:t>
      </w:r>
    </w:p>
    <w:p w:rsidR="009C7817" w:rsidRPr="009C7817" w:rsidRDefault="00535E76" w:rsidP="00C55F8D">
      <w:pPr>
        <w:pStyle w:val="NoSpacing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Unlike your practice</w:t>
      </w:r>
      <w:r w:rsidR="009C7817" w:rsidRPr="008A6BF4">
        <w:rPr>
          <w:rFonts w:ascii="Calibri" w:hAnsi="Calibri"/>
          <w:sz w:val="22"/>
          <w:szCs w:val="22"/>
        </w:rPr>
        <w:t>’</w:t>
      </w:r>
      <w:r w:rsidRPr="00535E76">
        <w:rPr>
          <w:rFonts w:ascii="Calibri" w:hAnsi="Calibri"/>
          <w:sz w:val="22"/>
          <w:szCs w:val="22"/>
        </w:rPr>
        <w:t>s office operations, the portal provides convenient, 24-hour, self-service options. It allows patients to handle business and clinical interactions with your practice at their convenience, and allows your staff to respond when it suits them.</w:t>
      </w:r>
    </w:p>
    <w:p w:rsidR="009C7817" w:rsidRPr="009C7817" w:rsidRDefault="00535E76" w:rsidP="008C17B8">
      <w:pPr>
        <w:pStyle w:val="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 xml:space="preserve">While the features of portals may vary, the options typically allow patients to complete, manage or communicate </w:t>
      </w:r>
      <w:r w:rsidR="004E5ED6">
        <w:rPr>
          <w:rFonts w:ascii="Calibri" w:hAnsi="Calibri"/>
          <w:sz w:val="22"/>
          <w:szCs w:val="22"/>
        </w:rPr>
        <w:t>with their provider regarding</w:t>
      </w:r>
      <w:r w:rsidRPr="00535E76">
        <w:rPr>
          <w:rFonts w:ascii="Calibri" w:hAnsi="Calibri"/>
          <w:sz w:val="22"/>
          <w:szCs w:val="22"/>
        </w:rPr>
        <w:t>:</w:t>
      </w:r>
    </w:p>
    <w:p w:rsidR="009C7817" w:rsidRPr="009C7817" w:rsidRDefault="00177DF2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Text Box 3" o:spid="_x0000_s1027" type="#_x0000_t202" style="position:absolute;left:0;text-align:left;margin-left:335.6pt;margin-top:12.65pt;width:207.2pt;height:122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">
            <v:textbox style="mso-fit-shape-to-text:t">
              <w:txbxContent>
                <w:p w:rsidR="00C55F8D" w:rsidRPr="00962B89" w:rsidRDefault="00C55F8D">
                  <w:pPr>
                    <w:rPr>
                      <w:rFonts w:ascii="Calibri" w:hAnsi="Calibri"/>
                    </w:rPr>
                  </w:pPr>
                  <w:r w:rsidRPr="00962B89">
                    <w:rPr>
                      <w:rFonts w:ascii="Calibri" w:hAnsi="Calibri"/>
                    </w:rPr>
                    <w:t xml:space="preserve">94% of consumers rated easy access to their own medical records as </w:t>
                  </w:r>
                  <w:r w:rsidRPr="00962B89">
                    <w:rPr>
                      <w:rFonts w:ascii="Calibri" w:hAnsi="Calibri"/>
                      <w:i/>
                    </w:rPr>
                    <w:t>important</w:t>
                  </w:r>
                  <w:r w:rsidRPr="00962B89">
                    <w:rPr>
                      <w:rFonts w:ascii="Calibri" w:hAnsi="Calibri"/>
                    </w:rPr>
                    <w:t xml:space="preserve"> or </w:t>
                  </w:r>
                  <w:r w:rsidRPr="00962B89">
                    <w:rPr>
                      <w:rFonts w:ascii="Calibri" w:hAnsi="Calibri"/>
                      <w:i/>
                    </w:rPr>
                    <w:t>very important</w:t>
                  </w:r>
                  <w:r w:rsidR="00962B89" w:rsidRPr="00962B89">
                    <w:rPr>
                      <w:rFonts w:ascii="Calibri" w:hAnsi="Calibri"/>
                    </w:rPr>
                    <w:t>.</w:t>
                  </w:r>
                </w:p>
                <w:p w:rsidR="00C55F8D" w:rsidRPr="00962B89" w:rsidRDefault="00C55F8D" w:rsidP="00962B89">
                  <w:pPr>
                    <w:spacing w:before="240"/>
                    <w:rPr>
                      <w:rFonts w:ascii="Calibri" w:hAnsi="Calibri"/>
                    </w:rPr>
                  </w:pPr>
                  <w:r w:rsidRPr="00962B89">
                    <w:rPr>
                      <w:rFonts w:ascii="Calibri" w:hAnsi="Calibri"/>
                    </w:rPr>
                    <w:t xml:space="preserve">75% </w:t>
                  </w:r>
                  <w:r w:rsidR="004E5ED6">
                    <w:rPr>
                      <w:rFonts w:ascii="Calibri" w:hAnsi="Calibri"/>
                    </w:rPr>
                    <w:t xml:space="preserve">of patients </w:t>
                  </w:r>
                  <w:r w:rsidRPr="00962B89">
                    <w:rPr>
                      <w:rFonts w:ascii="Calibri" w:hAnsi="Calibri"/>
                    </w:rPr>
                    <w:t>want their physicians to provide online services to schedule appointments, get test results, access medical records and exchange email.</w:t>
                  </w:r>
                </w:p>
              </w:txbxContent>
            </v:textbox>
          </v:shape>
        </w:pict>
      </w:r>
      <w:r w:rsidR="00535E76" w:rsidRPr="00535E76">
        <w:rPr>
          <w:rFonts w:ascii="Calibri" w:hAnsi="Calibri"/>
          <w:sz w:val="22"/>
          <w:szCs w:val="22"/>
        </w:rPr>
        <w:t>Registration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Financial clearance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Medical history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Appointment scheduling requests and confirmations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Appointment recalls for preventive and other recommended care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Specialty referrals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Test results notification and tracking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Patient-health care provider communication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Online bill payment</w:t>
      </w:r>
    </w:p>
    <w:p w:rsidR="009C7817" w:rsidRPr="009C7817" w:rsidRDefault="00535E76" w:rsidP="008C17B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>Prescription renewal</w:t>
      </w:r>
    </w:p>
    <w:p w:rsidR="004431B9" w:rsidRDefault="004431B9" w:rsidP="00E36271">
      <w:pPr>
        <w:rPr>
          <w:rFonts w:ascii="Calibri" w:hAnsi="Calibri"/>
          <w:b/>
          <w:sz w:val="22"/>
          <w:szCs w:val="22"/>
          <w:u w:val="single"/>
        </w:rPr>
      </w:pPr>
    </w:p>
    <w:p w:rsidR="00F76B68" w:rsidRPr="004431B9" w:rsidRDefault="00535E76" w:rsidP="00E36271">
      <w:pPr>
        <w:rPr>
          <w:rFonts w:ascii="Calibri" w:hAnsi="Calibri"/>
          <w:b/>
          <w:sz w:val="22"/>
          <w:szCs w:val="22"/>
          <w:u w:val="single"/>
        </w:rPr>
      </w:pPr>
      <w:r w:rsidRPr="00535E76">
        <w:rPr>
          <w:rFonts w:ascii="Calibri" w:hAnsi="Calibri"/>
          <w:b/>
          <w:sz w:val="22"/>
          <w:szCs w:val="22"/>
          <w:u w:val="single"/>
        </w:rPr>
        <w:t xml:space="preserve">Meaningful </w:t>
      </w:r>
      <w:r w:rsidR="004E5ED6">
        <w:rPr>
          <w:rFonts w:ascii="Calibri" w:hAnsi="Calibri"/>
          <w:b/>
          <w:sz w:val="22"/>
          <w:szCs w:val="22"/>
          <w:u w:val="single"/>
        </w:rPr>
        <w:t>U</w:t>
      </w:r>
      <w:r w:rsidRPr="00535E76">
        <w:rPr>
          <w:rFonts w:ascii="Calibri" w:hAnsi="Calibri"/>
          <w:b/>
          <w:sz w:val="22"/>
          <w:szCs w:val="22"/>
          <w:u w:val="single"/>
        </w:rPr>
        <w:t xml:space="preserve">se and </w:t>
      </w:r>
      <w:r w:rsidR="004E5ED6">
        <w:rPr>
          <w:rFonts w:ascii="Calibri" w:hAnsi="Calibri"/>
          <w:b/>
          <w:sz w:val="22"/>
          <w:szCs w:val="22"/>
          <w:u w:val="single"/>
        </w:rPr>
        <w:t>P</w:t>
      </w:r>
      <w:r w:rsidRPr="00535E76">
        <w:rPr>
          <w:rFonts w:ascii="Calibri" w:hAnsi="Calibri"/>
          <w:b/>
          <w:sz w:val="22"/>
          <w:szCs w:val="22"/>
          <w:u w:val="single"/>
        </w:rPr>
        <w:t xml:space="preserve">atient </w:t>
      </w:r>
      <w:r w:rsidR="004E5ED6">
        <w:rPr>
          <w:rFonts w:ascii="Calibri" w:hAnsi="Calibri"/>
          <w:b/>
          <w:sz w:val="22"/>
          <w:szCs w:val="22"/>
          <w:u w:val="single"/>
        </w:rPr>
        <w:t>E</w:t>
      </w:r>
      <w:r w:rsidRPr="00535E76">
        <w:rPr>
          <w:rFonts w:ascii="Calibri" w:hAnsi="Calibri"/>
          <w:b/>
          <w:sz w:val="22"/>
          <w:szCs w:val="22"/>
          <w:u w:val="single"/>
        </w:rPr>
        <w:t>ngagement</w:t>
      </w:r>
    </w:p>
    <w:p w:rsidR="00055D91" w:rsidRPr="00055D91" w:rsidRDefault="00535E76" w:rsidP="00055D91">
      <w:pPr>
        <w:rPr>
          <w:rFonts w:ascii="Calibri" w:hAnsi="Calibri"/>
          <w:b/>
          <w:i/>
          <w:sz w:val="22"/>
          <w:szCs w:val="22"/>
        </w:rPr>
      </w:pPr>
      <w:r w:rsidRPr="00535E76">
        <w:rPr>
          <w:rFonts w:ascii="Calibri" w:hAnsi="Calibri"/>
          <w:sz w:val="22"/>
          <w:szCs w:val="22"/>
        </w:rPr>
        <w:t xml:space="preserve">Recognizing the intrinsic values of a well-designed, multi-functional patient portal, the federal government has honed in on </w:t>
      </w:r>
      <w:r w:rsidR="00884475">
        <w:rPr>
          <w:rFonts w:ascii="Calibri" w:hAnsi="Calibri"/>
          <w:sz w:val="22"/>
          <w:szCs w:val="22"/>
        </w:rPr>
        <w:t>portals</w:t>
      </w:r>
      <w:r w:rsidRPr="00535E76">
        <w:rPr>
          <w:rFonts w:ascii="Calibri" w:hAnsi="Calibri"/>
          <w:sz w:val="22"/>
          <w:szCs w:val="22"/>
        </w:rPr>
        <w:t xml:space="preserve"> in its </w:t>
      </w:r>
      <w:r w:rsidR="003069E5">
        <w:rPr>
          <w:rFonts w:ascii="Calibri" w:hAnsi="Calibri"/>
          <w:sz w:val="22"/>
          <w:szCs w:val="22"/>
        </w:rPr>
        <w:t>M</w:t>
      </w:r>
      <w:r w:rsidRPr="00535E76">
        <w:rPr>
          <w:rFonts w:ascii="Calibri" w:hAnsi="Calibri"/>
          <w:sz w:val="22"/>
          <w:szCs w:val="22"/>
        </w:rPr>
        <w:t xml:space="preserve">eaningful </w:t>
      </w:r>
      <w:r w:rsidR="003069E5">
        <w:rPr>
          <w:rFonts w:ascii="Calibri" w:hAnsi="Calibri"/>
          <w:sz w:val="22"/>
          <w:szCs w:val="22"/>
        </w:rPr>
        <w:t>U</w:t>
      </w:r>
      <w:r w:rsidRPr="00535E76">
        <w:rPr>
          <w:rFonts w:ascii="Calibri" w:hAnsi="Calibri"/>
          <w:sz w:val="22"/>
          <w:szCs w:val="22"/>
        </w:rPr>
        <w:t xml:space="preserve">se rules. </w:t>
      </w:r>
      <w:r w:rsidR="004E5ED6">
        <w:rPr>
          <w:rFonts w:ascii="Calibri" w:hAnsi="Calibri"/>
          <w:sz w:val="22"/>
          <w:szCs w:val="22"/>
        </w:rPr>
        <w:t xml:space="preserve">Twenty </w:t>
      </w:r>
      <w:r w:rsidRPr="00535E76">
        <w:rPr>
          <w:rFonts w:ascii="Calibri" w:hAnsi="Calibri"/>
          <w:sz w:val="22"/>
          <w:szCs w:val="22"/>
        </w:rPr>
        <w:t>of the 25 criteria</w:t>
      </w:r>
      <w:r w:rsidR="00055D91">
        <w:rPr>
          <w:rFonts w:ascii="Calibri" w:hAnsi="Calibri"/>
          <w:sz w:val="22"/>
          <w:szCs w:val="22"/>
        </w:rPr>
        <w:t xml:space="preserve"> </w:t>
      </w:r>
      <w:r w:rsidRPr="00535E76">
        <w:rPr>
          <w:rFonts w:ascii="Calibri" w:hAnsi="Calibri"/>
          <w:sz w:val="22"/>
          <w:szCs w:val="22"/>
        </w:rPr>
        <w:t xml:space="preserve">are required by eligible professionals in order to demonstrate </w:t>
      </w:r>
      <w:r w:rsidR="003069E5">
        <w:rPr>
          <w:rFonts w:ascii="Calibri" w:hAnsi="Calibri"/>
          <w:sz w:val="22"/>
          <w:szCs w:val="22"/>
        </w:rPr>
        <w:t>M</w:t>
      </w:r>
      <w:r w:rsidRPr="00535E76">
        <w:rPr>
          <w:rFonts w:ascii="Calibri" w:hAnsi="Calibri"/>
          <w:sz w:val="22"/>
          <w:szCs w:val="22"/>
        </w:rPr>
        <w:t xml:space="preserve">eaningful </w:t>
      </w:r>
      <w:r w:rsidR="003069E5">
        <w:rPr>
          <w:rFonts w:ascii="Calibri" w:hAnsi="Calibri"/>
          <w:sz w:val="22"/>
          <w:szCs w:val="22"/>
        </w:rPr>
        <w:t>U</w:t>
      </w:r>
      <w:r w:rsidRPr="00535E76">
        <w:rPr>
          <w:rFonts w:ascii="Calibri" w:hAnsi="Calibri"/>
          <w:sz w:val="22"/>
          <w:szCs w:val="22"/>
        </w:rPr>
        <w:t xml:space="preserve">se of their </w:t>
      </w:r>
      <w:r w:rsidR="00884475">
        <w:rPr>
          <w:rFonts w:ascii="Calibri" w:hAnsi="Calibri"/>
          <w:sz w:val="22"/>
          <w:szCs w:val="22"/>
        </w:rPr>
        <w:t>EHR</w:t>
      </w:r>
      <w:r w:rsidRPr="00535E76">
        <w:rPr>
          <w:rFonts w:ascii="Calibri" w:hAnsi="Calibri"/>
          <w:sz w:val="22"/>
          <w:szCs w:val="22"/>
        </w:rPr>
        <w:t xml:space="preserve"> in Stage 1</w:t>
      </w:r>
      <w:r w:rsidR="004E5ED6">
        <w:rPr>
          <w:rFonts w:ascii="Calibri" w:hAnsi="Calibri"/>
          <w:sz w:val="22"/>
          <w:szCs w:val="22"/>
        </w:rPr>
        <w:t>.</w:t>
      </w:r>
      <w:r w:rsidRPr="00535E76">
        <w:rPr>
          <w:rFonts w:ascii="Calibri" w:hAnsi="Calibri"/>
          <w:sz w:val="22"/>
          <w:szCs w:val="22"/>
        </w:rPr>
        <w:t xml:space="preserve"> </w:t>
      </w:r>
      <w:r w:rsidR="00055D91" w:rsidRPr="00535E76">
        <w:rPr>
          <w:rFonts w:ascii="Calibri" w:hAnsi="Calibri"/>
          <w:sz w:val="22"/>
          <w:szCs w:val="22"/>
        </w:rPr>
        <w:t xml:space="preserve">Four of the 25 criteria, of which 20 are required by eligible professionals in order to demonstrate meaningful use of their </w:t>
      </w:r>
      <w:r w:rsidR="00055D91">
        <w:rPr>
          <w:rFonts w:ascii="Calibri" w:hAnsi="Calibri"/>
          <w:sz w:val="22"/>
          <w:szCs w:val="22"/>
        </w:rPr>
        <w:t>EHR</w:t>
      </w:r>
      <w:r w:rsidR="00055D91" w:rsidRPr="00535E76">
        <w:rPr>
          <w:rFonts w:ascii="Calibri" w:hAnsi="Calibri"/>
          <w:sz w:val="22"/>
          <w:szCs w:val="22"/>
        </w:rPr>
        <w:t xml:space="preserve"> in Stage 1, </w:t>
      </w:r>
      <w:r w:rsidR="00055D91">
        <w:rPr>
          <w:rFonts w:ascii="Calibri" w:hAnsi="Calibri"/>
          <w:sz w:val="22"/>
          <w:szCs w:val="22"/>
        </w:rPr>
        <w:t>focus</w:t>
      </w:r>
      <w:r w:rsidR="00055D91" w:rsidRPr="00535E76">
        <w:rPr>
          <w:rFonts w:ascii="Calibri" w:hAnsi="Calibri"/>
          <w:sz w:val="22"/>
          <w:szCs w:val="22"/>
        </w:rPr>
        <w:t xml:space="preserve"> on services that practices would be hard-pressed to provide without a patient portal.</w:t>
      </w:r>
    </w:p>
    <w:p w:rsidR="00055D91" w:rsidRPr="00055D91" w:rsidRDefault="00055D91" w:rsidP="00055D91">
      <w:pPr>
        <w:ind w:left="720"/>
        <w:rPr>
          <w:rFonts w:ascii="Calibri" w:hAnsi="Calibri"/>
          <w:b/>
          <w:i/>
          <w:sz w:val="22"/>
          <w:szCs w:val="22"/>
        </w:rPr>
      </w:pPr>
    </w:p>
    <w:p w:rsidR="00177DF2" w:rsidRDefault="00EF0F92" w:rsidP="00055D91">
      <w:pPr>
        <w:ind w:left="360"/>
        <w:rPr>
          <w:rFonts w:ascii="Calibri" w:hAnsi="Calibri"/>
          <w:b/>
          <w:i/>
          <w:sz w:val="22"/>
          <w:szCs w:val="22"/>
        </w:rPr>
      </w:pPr>
      <w:r w:rsidRPr="00EF0F92">
        <w:rPr>
          <w:rFonts w:ascii="Calibri" w:hAnsi="Calibri"/>
          <w:b/>
          <w:i/>
          <w:sz w:val="22"/>
          <w:szCs w:val="22"/>
        </w:rPr>
        <w:t>Patient Engagement Criteria One: Electronic copy of health information</w:t>
      </w:r>
    </w:p>
    <w:p w:rsidR="009C7817" w:rsidRPr="00962B89" w:rsidRDefault="004E5ED6" w:rsidP="00055D91">
      <w:pPr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 xml:space="preserve">Measure: More than 50% of all patients of the eligible professional (EP) who request an electronic copy of their </w:t>
      </w: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>health information are provided it within 3 business days</w:t>
      </w:r>
    </w:p>
    <w:p w:rsidR="00177DF2" w:rsidRDefault="00EF0F92" w:rsidP="00055D91">
      <w:pPr>
        <w:ind w:left="360"/>
        <w:rPr>
          <w:rFonts w:ascii="Calibri" w:hAnsi="Calibri"/>
          <w:b/>
          <w:i/>
          <w:sz w:val="22"/>
          <w:szCs w:val="22"/>
        </w:rPr>
      </w:pPr>
      <w:r w:rsidRPr="00EF0F92">
        <w:rPr>
          <w:rFonts w:ascii="Calibri" w:hAnsi="Calibri"/>
          <w:b/>
          <w:i/>
          <w:sz w:val="22"/>
          <w:szCs w:val="22"/>
        </w:rPr>
        <w:t>Clinical summaries</w:t>
      </w:r>
    </w:p>
    <w:p w:rsidR="009C7817" w:rsidRPr="00962B89" w:rsidRDefault="004E5ED6" w:rsidP="00055D91">
      <w:pPr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 xml:space="preserve">Measure: Clinical summaries </w:t>
      </w:r>
      <w:r w:rsidR="003069E5">
        <w:rPr>
          <w:rFonts w:ascii="Calibri" w:hAnsi="Calibri"/>
          <w:i/>
          <w:sz w:val="22"/>
          <w:szCs w:val="22"/>
        </w:rPr>
        <w:t xml:space="preserve">are </w:t>
      </w:r>
      <w:r w:rsidR="004431B9" w:rsidRPr="00535E76">
        <w:rPr>
          <w:rFonts w:ascii="Calibri" w:hAnsi="Calibri"/>
          <w:i/>
          <w:sz w:val="22"/>
          <w:szCs w:val="22"/>
        </w:rPr>
        <w:t>provided to patients for more than 50% of all office visits within 3 business days</w:t>
      </w:r>
    </w:p>
    <w:p w:rsidR="00177DF2" w:rsidRDefault="00EF0F92" w:rsidP="00055D91">
      <w:pPr>
        <w:ind w:left="360"/>
        <w:rPr>
          <w:rFonts w:ascii="Calibri" w:hAnsi="Calibri"/>
          <w:b/>
          <w:i/>
          <w:sz w:val="22"/>
          <w:szCs w:val="22"/>
        </w:rPr>
      </w:pPr>
      <w:r w:rsidRPr="00EF0F92">
        <w:rPr>
          <w:rFonts w:ascii="Calibri" w:hAnsi="Calibri"/>
          <w:b/>
          <w:i/>
          <w:sz w:val="22"/>
          <w:szCs w:val="22"/>
        </w:rPr>
        <w:t>Appointment recalls</w:t>
      </w:r>
    </w:p>
    <w:p w:rsidR="009C7817" w:rsidRPr="00962B89" w:rsidRDefault="004E5ED6" w:rsidP="00055D91">
      <w:pPr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 xml:space="preserve">Measure: More than 20% of all unique patients 65 years old or older or 5 years old or younger </w:t>
      </w:r>
      <w:r w:rsidR="003069E5">
        <w:rPr>
          <w:rFonts w:ascii="Calibri" w:hAnsi="Calibri"/>
          <w:i/>
          <w:sz w:val="22"/>
          <w:szCs w:val="22"/>
        </w:rPr>
        <w:t>are</w:t>
      </w:r>
      <w:r w:rsidR="004431B9" w:rsidRPr="00535E76">
        <w:rPr>
          <w:rFonts w:ascii="Calibri" w:hAnsi="Calibri"/>
          <w:i/>
          <w:sz w:val="22"/>
          <w:szCs w:val="22"/>
        </w:rPr>
        <w:t xml:space="preserve"> sent an </w:t>
      </w: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>appropriate reminder during the EHR reporting period</w:t>
      </w:r>
    </w:p>
    <w:p w:rsidR="00177DF2" w:rsidRDefault="00EF0F92" w:rsidP="00055D91">
      <w:pPr>
        <w:ind w:left="360"/>
        <w:rPr>
          <w:rFonts w:ascii="Calibri" w:hAnsi="Calibri"/>
          <w:b/>
          <w:i/>
          <w:sz w:val="22"/>
          <w:szCs w:val="22"/>
        </w:rPr>
      </w:pPr>
      <w:r w:rsidRPr="00EF0F92">
        <w:rPr>
          <w:rFonts w:ascii="Calibri" w:hAnsi="Calibri"/>
          <w:b/>
          <w:i/>
          <w:sz w:val="22"/>
          <w:szCs w:val="22"/>
        </w:rPr>
        <w:t>Timely access to health information</w:t>
      </w:r>
    </w:p>
    <w:p w:rsidR="009C7817" w:rsidRPr="00962B89" w:rsidRDefault="002E1060" w:rsidP="00055D91">
      <w:pPr>
        <w:spacing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 xml:space="preserve">Measure: More than 10% of all unique patients seen by the EP are provided timely (available to the patient </w:t>
      </w: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 xml:space="preserve">within four business days of being updated in the certified EHR technology) electronic access to their health </w:t>
      </w:r>
      <w:r>
        <w:rPr>
          <w:rFonts w:ascii="Calibri" w:hAnsi="Calibri"/>
          <w:i/>
          <w:sz w:val="22"/>
          <w:szCs w:val="22"/>
        </w:rPr>
        <w:tab/>
      </w:r>
      <w:r w:rsidR="004431B9" w:rsidRPr="00535E76">
        <w:rPr>
          <w:rFonts w:ascii="Calibri" w:hAnsi="Calibri"/>
          <w:i/>
          <w:sz w:val="22"/>
          <w:szCs w:val="22"/>
        </w:rPr>
        <w:t>information subject to the EP's discretion to withhold certain information</w:t>
      </w:r>
    </w:p>
    <w:p w:rsidR="009C7817" w:rsidRPr="00962B89" w:rsidRDefault="00535E76" w:rsidP="00962B89">
      <w:pPr>
        <w:spacing w:after="120"/>
        <w:rPr>
          <w:rFonts w:ascii="Calibri" w:hAnsi="Calibri"/>
          <w:sz w:val="18"/>
          <w:szCs w:val="18"/>
        </w:rPr>
      </w:pPr>
      <w:r w:rsidRPr="00962B89">
        <w:rPr>
          <w:rFonts w:ascii="Calibri" w:hAnsi="Calibri"/>
          <w:sz w:val="18"/>
          <w:szCs w:val="18"/>
          <w:lang w:val="fr-FR"/>
        </w:rPr>
        <w:t xml:space="preserve">Source: 42 CFR Parts 412, 413, 422 et al. </w:t>
      </w:r>
      <w:r w:rsidRPr="00962B89">
        <w:rPr>
          <w:rFonts w:ascii="Calibri" w:hAnsi="Calibri"/>
          <w:sz w:val="18"/>
          <w:szCs w:val="18"/>
        </w:rPr>
        <w:t>Medicare and Medicaid Programs; Electronic Health Record Incentive Program; Final Rule</w:t>
      </w:r>
      <w:r w:rsidR="003847AC" w:rsidRPr="00962B89">
        <w:rPr>
          <w:rFonts w:ascii="Calibri" w:hAnsi="Calibri"/>
          <w:sz w:val="18"/>
          <w:szCs w:val="18"/>
        </w:rPr>
        <w:t>.</w:t>
      </w:r>
      <w:r w:rsidRPr="00962B89">
        <w:rPr>
          <w:rFonts w:ascii="Calibri" w:hAnsi="Calibri"/>
          <w:sz w:val="18"/>
          <w:szCs w:val="18"/>
        </w:rPr>
        <w:t xml:space="preserve"> Accessed September 21, 2010: </w:t>
      </w:r>
      <w:hyperlink r:id="rId10" w:history="1">
        <w:r w:rsidRPr="00962B89">
          <w:rPr>
            <w:rStyle w:val="Hyperlink"/>
            <w:rFonts w:ascii="Calibri" w:hAnsi="Calibri"/>
            <w:color w:val="auto"/>
            <w:sz w:val="18"/>
            <w:szCs w:val="18"/>
          </w:rPr>
          <w:t>http://edocket.access.gpo.gov/2010/pdf/2010-17207.pdf</w:t>
        </w:r>
      </w:hyperlink>
      <w:r w:rsidRPr="00962B89">
        <w:rPr>
          <w:rFonts w:ascii="Calibri" w:hAnsi="Calibri"/>
          <w:sz w:val="18"/>
          <w:szCs w:val="18"/>
        </w:rPr>
        <w:t xml:space="preserve"> </w:t>
      </w:r>
    </w:p>
    <w:sectPr w:rsidR="009C7817" w:rsidRPr="00962B89" w:rsidSect="003A0EB2">
      <w:endnotePr>
        <w:numFmt w:val="decimal"/>
      </w:endnotePr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16" w:rsidRDefault="00C94716" w:rsidP="003A0075">
      <w:r>
        <w:separator/>
      </w:r>
    </w:p>
  </w:endnote>
  <w:endnote w:type="continuationSeparator" w:id="0">
    <w:p w:rsidR="00C94716" w:rsidRDefault="00C94716" w:rsidP="003A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16" w:rsidRDefault="00C94716" w:rsidP="003A0075">
      <w:r>
        <w:separator/>
      </w:r>
    </w:p>
  </w:footnote>
  <w:footnote w:type="continuationSeparator" w:id="0">
    <w:p w:rsidR="00C94716" w:rsidRDefault="00C94716" w:rsidP="003A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73"/>
    <w:multiLevelType w:val="hybridMultilevel"/>
    <w:tmpl w:val="5A3E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8AB"/>
    <w:multiLevelType w:val="multilevel"/>
    <w:tmpl w:val="391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20C83"/>
    <w:multiLevelType w:val="multilevel"/>
    <w:tmpl w:val="5CB2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A62F56"/>
    <w:multiLevelType w:val="hybridMultilevel"/>
    <w:tmpl w:val="FA16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56BF"/>
    <w:multiLevelType w:val="hybridMultilevel"/>
    <w:tmpl w:val="56DA7B6C"/>
    <w:lvl w:ilvl="0" w:tplc="B8DEAA5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91402B"/>
    <w:multiLevelType w:val="hybridMultilevel"/>
    <w:tmpl w:val="C8422888"/>
    <w:lvl w:ilvl="0" w:tplc="72742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E60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883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6C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D2E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A0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D454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C91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4EF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D96533"/>
    <w:multiLevelType w:val="hybridMultilevel"/>
    <w:tmpl w:val="4E68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627"/>
    <w:multiLevelType w:val="hybridMultilevel"/>
    <w:tmpl w:val="1F8A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3483"/>
    <w:multiLevelType w:val="hybridMultilevel"/>
    <w:tmpl w:val="8302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7E572A"/>
    <w:multiLevelType w:val="hybridMultilevel"/>
    <w:tmpl w:val="695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868C5"/>
    <w:multiLevelType w:val="hybridMultilevel"/>
    <w:tmpl w:val="4C2CA572"/>
    <w:lvl w:ilvl="0" w:tplc="8A64B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AC3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023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EC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AA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B6E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C49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E6B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58F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7A7643"/>
    <w:multiLevelType w:val="multilevel"/>
    <w:tmpl w:val="675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FC0AA9"/>
    <w:multiLevelType w:val="hybridMultilevel"/>
    <w:tmpl w:val="50C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8143C"/>
    <w:multiLevelType w:val="hybridMultilevel"/>
    <w:tmpl w:val="F6D848E2"/>
    <w:lvl w:ilvl="0" w:tplc="7A069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61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EF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8A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0A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45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C81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2A4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3EF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1C05501"/>
    <w:multiLevelType w:val="hybridMultilevel"/>
    <w:tmpl w:val="A0BA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0D96"/>
    <w:multiLevelType w:val="hybridMultilevel"/>
    <w:tmpl w:val="C4569F06"/>
    <w:lvl w:ilvl="0" w:tplc="2BFE00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28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C66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C49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445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F64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549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44B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6A9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EF3D7E"/>
    <w:multiLevelType w:val="hybridMultilevel"/>
    <w:tmpl w:val="B54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22ECF"/>
    <w:multiLevelType w:val="multilevel"/>
    <w:tmpl w:val="068C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A667B"/>
    <w:multiLevelType w:val="hybridMultilevel"/>
    <w:tmpl w:val="963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B6F57"/>
    <w:multiLevelType w:val="hybridMultilevel"/>
    <w:tmpl w:val="458C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17470"/>
    <w:multiLevelType w:val="hybridMultilevel"/>
    <w:tmpl w:val="8BF0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6"/>
  </w:num>
  <w:num w:numId="8">
    <w:abstractNumId w:val="20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2768"/>
    <w:rsid w:val="00011EEA"/>
    <w:rsid w:val="00015357"/>
    <w:rsid w:val="00024389"/>
    <w:rsid w:val="00027BDE"/>
    <w:rsid w:val="000303F6"/>
    <w:rsid w:val="000314C9"/>
    <w:rsid w:val="0003326E"/>
    <w:rsid w:val="000402E6"/>
    <w:rsid w:val="00041255"/>
    <w:rsid w:val="00041E21"/>
    <w:rsid w:val="00046227"/>
    <w:rsid w:val="00055D91"/>
    <w:rsid w:val="00063A87"/>
    <w:rsid w:val="00064D61"/>
    <w:rsid w:val="00072AD0"/>
    <w:rsid w:val="000837D5"/>
    <w:rsid w:val="00096F0B"/>
    <w:rsid w:val="000A1B8E"/>
    <w:rsid w:val="000B0C9B"/>
    <w:rsid w:val="000B1F2B"/>
    <w:rsid w:val="000B4334"/>
    <w:rsid w:val="000C3112"/>
    <w:rsid w:val="000C3591"/>
    <w:rsid w:val="000D75CF"/>
    <w:rsid w:val="000F636A"/>
    <w:rsid w:val="001153E8"/>
    <w:rsid w:val="0011660D"/>
    <w:rsid w:val="00121799"/>
    <w:rsid w:val="00124F03"/>
    <w:rsid w:val="0012694F"/>
    <w:rsid w:val="00127F15"/>
    <w:rsid w:val="00130485"/>
    <w:rsid w:val="00142BA3"/>
    <w:rsid w:val="001656D8"/>
    <w:rsid w:val="00174928"/>
    <w:rsid w:val="00177DF2"/>
    <w:rsid w:val="001936B9"/>
    <w:rsid w:val="001A3129"/>
    <w:rsid w:val="001B113A"/>
    <w:rsid w:val="001B7605"/>
    <w:rsid w:val="001C37DA"/>
    <w:rsid w:val="001E4270"/>
    <w:rsid w:val="001E66A0"/>
    <w:rsid w:val="00200140"/>
    <w:rsid w:val="00210200"/>
    <w:rsid w:val="00221C08"/>
    <w:rsid w:val="00222768"/>
    <w:rsid w:val="002236B3"/>
    <w:rsid w:val="0023229F"/>
    <w:rsid w:val="00244CE8"/>
    <w:rsid w:val="00250EB3"/>
    <w:rsid w:val="00251800"/>
    <w:rsid w:val="00267F32"/>
    <w:rsid w:val="002A3F84"/>
    <w:rsid w:val="002B4000"/>
    <w:rsid w:val="002C042D"/>
    <w:rsid w:val="002C7210"/>
    <w:rsid w:val="002E1060"/>
    <w:rsid w:val="002E6F78"/>
    <w:rsid w:val="003069E5"/>
    <w:rsid w:val="0031648D"/>
    <w:rsid w:val="00331895"/>
    <w:rsid w:val="00332A37"/>
    <w:rsid w:val="00352B16"/>
    <w:rsid w:val="003847AC"/>
    <w:rsid w:val="00384F94"/>
    <w:rsid w:val="00391BB4"/>
    <w:rsid w:val="003961B1"/>
    <w:rsid w:val="003970B0"/>
    <w:rsid w:val="003A0034"/>
    <w:rsid w:val="003A0075"/>
    <w:rsid w:val="003A0EB2"/>
    <w:rsid w:val="003A5600"/>
    <w:rsid w:val="003A7914"/>
    <w:rsid w:val="003B388F"/>
    <w:rsid w:val="003E41B7"/>
    <w:rsid w:val="003F0E9B"/>
    <w:rsid w:val="003F3F66"/>
    <w:rsid w:val="003F7248"/>
    <w:rsid w:val="003F7596"/>
    <w:rsid w:val="0040021B"/>
    <w:rsid w:val="0040437A"/>
    <w:rsid w:val="0040467A"/>
    <w:rsid w:val="00427082"/>
    <w:rsid w:val="00433E16"/>
    <w:rsid w:val="00440743"/>
    <w:rsid w:val="00442F95"/>
    <w:rsid w:val="004431B9"/>
    <w:rsid w:val="00444D9A"/>
    <w:rsid w:val="00450CD0"/>
    <w:rsid w:val="004519FE"/>
    <w:rsid w:val="00454085"/>
    <w:rsid w:val="00454345"/>
    <w:rsid w:val="00454DE7"/>
    <w:rsid w:val="004566E1"/>
    <w:rsid w:val="00466630"/>
    <w:rsid w:val="00467232"/>
    <w:rsid w:val="00472389"/>
    <w:rsid w:val="00481152"/>
    <w:rsid w:val="004912E2"/>
    <w:rsid w:val="00491330"/>
    <w:rsid w:val="00496CB3"/>
    <w:rsid w:val="004A2928"/>
    <w:rsid w:val="004B5095"/>
    <w:rsid w:val="004B6F4F"/>
    <w:rsid w:val="004D610E"/>
    <w:rsid w:val="004E1042"/>
    <w:rsid w:val="004E1D25"/>
    <w:rsid w:val="004E41FE"/>
    <w:rsid w:val="004E51DF"/>
    <w:rsid w:val="004E5ED6"/>
    <w:rsid w:val="004E7881"/>
    <w:rsid w:val="004F6318"/>
    <w:rsid w:val="00500F3B"/>
    <w:rsid w:val="00504495"/>
    <w:rsid w:val="0051201F"/>
    <w:rsid w:val="00517B05"/>
    <w:rsid w:val="0052289D"/>
    <w:rsid w:val="00526DE5"/>
    <w:rsid w:val="005279D0"/>
    <w:rsid w:val="00535E76"/>
    <w:rsid w:val="00540FA6"/>
    <w:rsid w:val="00542367"/>
    <w:rsid w:val="005572D4"/>
    <w:rsid w:val="00561EC9"/>
    <w:rsid w:val="00562254"/>
    <w:rsid w:val="00581BFA"/>
    <w:rsid w:val="00582FF0"/>
    <w:rsid w:val="00585DEA"/>
    <w:rsid w:val="005A0417"/>
    <w:rsid w:val="005B173C"/>
    <w:rsid w:val="005B5FA6"/>
    <w:rsid w:val="005D03DE"/>
    <w:rsid w:val="005D561B"/>
    <w:rsid w:val="005D6A80"/>
    <w:rsid w:val="005F5168"/>
    <w:rsid w:val="005F56E4"/>
    <w:rsid w:val="00614A5C"/>
    <w:rsid w:val="006274F4"/>
    <w:rsid w:val="00687632"/>
    <w:rsid w:val="006A48AC"/>
    <w:rsid w:val="006B25B6"/>
    <w:rsid w:val="006B5C77"/>
    <w:rsid w:val="006C21D5"/>
    <w:rsid w:val="006C6CAB"/>
    <w:rsid w:val="006D783D"/>
    <w:rsid w:val="006E002A"/>
    <w:rsid w:val="006E074A"/>
    <w:rsid w:val="006E720F"/>
    <w:rsid w:val="00707AED"/>
    <w:rsid w:val="0074068C"/>
    <w:rsid w:val="00740826"/>
    <w:rsid w:val="00740BC4"/>
    <w:rsid w:val="007512D3"/>
    <w:rsid w:val="0076737E"/>
    <w:rsid w:val="0077409D"/>
    <w:rsid w:val="00777499"/>
    <w:rsid w:val="00782A1A"/>
    <w:rsid w:val="007856C6"/>
    <w:rsid w:val="007B65C4"/>
    <w:rsid w:val="007C1CEB"/>
    <w:rsid w:val="007C1F3C"/>
    <w:rsid w:val="007C4D67"/>
    <w:rsid w:val="007D159B"/>
    <w:rsid w:val="008030C3"/>
    <w:rsid w:val="00803FC7"/>
    <w:rsid w:val="00810552"/>
    <w:rsid w:val="00823D5F"/>
    <w:rsid w:val="008552C3"/>
    <w:rsid w:val="008667EF"/>
    <w:rsid w:val="00873164"/>
    <w:rsid w:val="00873AEE"/>
    <w:rsid w:val="00884475"/>
    <w:rsid w:val="008A1A7F"/>
    <w:rsid w:val="008A6BF4"/>
    <w:rsid w:val="008C17B8"/>
    <w:rsid w:val="008C21B3"/>
    <w:rsid w:val="008E4BA2"/>
    <w:rsid w:val="008E67FF"/>
    <w:rsid w:val="009031B2"/>
    <w:rsid w:val="00917EEB"/>
    <w:rsid w:val="00922E79"/>
    <w:rsid w:val="009251EE"/>
    <w:rsid w:val="00925D16"/>
    <w:rsid w:val="00941951"/>
    <w:rsid w:val="00953A53"/>
    <w:rsid w:val="00962B89"/>
    <w:rsid w:val="00966329"/>
    <w:rsid w:val="00987181"/>
    <w:rsid w:val="00991C5E"/>
    <w:rsid w:val="009A1247"/>
    <w:rsid w:val="009B2345"/>
    <w:rsid w:val="009C40B4"/>
    <w:rsid w:val="009C7817"/>
    <w:rsid w:val="009F4416"/>
    <w:rsid w:val="00A1103B"/>
    <w:rsid w:val="00A11856"/>
    <w:rsid w:val="00A12161"/>
    <w:rsid w:val="00A167AE"/>
    <w:rsid w:val="00A222A3"/>
    <w:rsid w:val="00A2729A"/>
    <w:rsid w:val="00A328FD"/>
    <w:rsid w:val="00A35F20"/>
    <w:rsid w:val="00A41BD9"/>
    <w:rsid w:val="00A45984"/>
    <w:rsid w:val="00A45E8E"/>
    <w:rsid w:val="00A71F88"/>
    <w:rsid w:val="00A72DAE"/>
    <w:rsid w:val="00A76B32"/>
    <w:rsid w:val="00A80EF0"/>
    <w:rsid w:val="00A8701A"/>
    <w:rsid w:val="00A92685"/>
    <w:rsid w:val="00A95266"/>
    <w:rsid w:val="00A97177"/>
    <w:rsid w:val="00AA69F8"/>
    <w:rsid w:val="00AB0A27"/>
    <w:rsid w:val="00AB19A5"/>
    <w:rsid w:val="00AC44FE"/>
    <w:rsid w:val="00AD4F4E"/>
    <w:rsid w:val="00AE619E"/>
    <w:rsid w:val="00AE6307"/>
    <w:rsid w:val="00AE6C6D"/>
    <w:rsid w:val="00AF20BE"/>
    <w:rsid w:val="00B03F45"/>
    <w:rsid w:val="00B060ED"/>
    <w:rsid w:val="00B07D6E"/>
    <w:rsid w:val="00B25966"/>
    <w:rsid w:val="00B433E1"/>
    <w:rsid w:val="00B44BED"/>
    <w:rsid w:val="00B4656E"/>
    <w:rsid w:val="00B61FFA"/>
    <w:rsid w:val="00B64A5B"/>
    <w:rsid w:val="00B67F5F"/>
    <w:rsid w:val="00B75546"/>
    <w:rsid w:val="00B87D35"/>
    <w:rsid w:val="00B92F96"/>
    <w:rsid w:val="00BA789B"/>
    <w:rsid w:val="00BB40D3"/>
    <w:rsid w:val="00BB7EE3"/>
    <w:rsid w:val="00BD3638"/>
    <w:rsid w:val="00BD509A"/>
    <w:rsid w:val="00BF78C6"/>
    <w:rsid w:val="00C0073B"/>
    <w:rsid w:val="00C011CE"/>
    <w:rsid w:val="00C03E66"/>
    <w:rsid w:val="00C13EE3"/>
    <w:rsid w:val="00C16A36"/>
    <w:rsid w:val="00C21E0C"/>
    <w:rsid w:val="00C264BF"/>
    <w:rsid w:val="00C41EEC"/>
    <w:rsid w:val="00C55F8D"/>
    <w:rsid w:val="00C60E96"/>
    <w:rsid w:val="00C70DB6"/>
    <w:rsid w:val="00C76B8A"/>
    <w:rsid w:val="00C817EF"/>
    <w:rsid w:val="00C82514"/>
    <w:rsid w:val="00C90275"/>
    <w:rsid w:val="00C90DF2"/>
    <w:rsid w:val="00C94716"/>
    <w:rsid w:val="00C97541"/>
    <w:rsid w:val="00C97C7A"/>
    <w:rsid w:val="00CA084B"/>
    <w:rsid w:val="00CA26FE"/>
    <w:rsid w:val="00CA3921"/>
    <w:rsid w:val="00CC1E4B"/>
    <w:rsid w:val="00CD4E64"/>
    <w:rsid w:val="00CD703E"/>
    <w:rsid w:val="00CF035A"/>
    <w:rsid w:val="00CF1B20"/>
    <w:rsid w:val="00CF7B65"/>
    <w:rsid w:val="00D0718F"/>
    <w:rsid w:val="00D2196C"/>
    <w:rsid w:val="00D23785"/>
    <w:rsid w:val="00D33CFF"/>
    <w:rsid w:val="00D417E4"/>
    <w:rsid w:val="00D47ACB"/>
    <w:rsid w:val="00D51E36"/>
    <w:rsid w:val="00D5673D"/>
    <w:rsid w:val="00D61BBA"/>
    <w:rsid w:val="00D70912"/>
    <w:rsid w:val="00D91676"/>
    <w:rsid w:val="00DB3D0A"/>
    <w:rsid w:val="00DB5AD4"/>
    <w:rsid w:val="00DB6683"/>
    <w:rsid w:val="00DF2503"/>
    <w:rsid w:val="00DF41CF"/>
    <w:rsid w:val="00E06C4C"/>
    <w:rsid w:val="00E17832"/>
    <w:rsid w:val="00E347A9"/>
    <w:rsid w:val="00E36271"/>
    <w:rsid w:val="00E42602"/>
    <w:rsid w:val="00E43635"/>
    <w:rsid w:val="00E75648"/>
    <w:rsid w:val="00E810A5"/>
    <w:rsid w:val="00E81F99"/>
    <w:rsid w:val="00EA2674"/>
    <w:rsid w:val="00EB17C6"/>
    <w:rsid w:val="00ED4709"/>
    <w:rsid w:val="00EE15CE"/>
    <w:rsid w:val="00EF02EA"/>
    <w:rsid w:val="00EF0F92"/>
    <w:rsid w:val="00EF1D8C"/>
    <w:rsid w:val="00EF2E7C"/>
    <w:rsid w:val="00F05927"/>
    <w:rsid w:val="00F076FC"/>
    <w:rsid w:val="00F1328C"/>
    <w:rsid w:val="00F2331B"/>
    <w:rsid w:val="00F25465"/>
    <w:rsid w:val="00F30C28"/>
    <w:rsid w:val="00F32FFC"/>
    <w:rsid w:val="00F473CE"/>
    <w:rsid w:val="00F568AB"/>
    <w:rsid w:val="00F63A34"/>
    <w:rsid w:val="00F66A12"/>
    <w:rsid w:val="00F76B68"/>
    <w:rsid w:val="00F82E4F"/>
    <w:rsid w:val="00F834FC"/>
    <w:rsid w:val="00FA580E"/>
    <w:rsid w:val="00FF0D40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DF2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782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F20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F2CEF"/>
    <w:rPr>
      <w:rFonts w:cs="Times New Roman"/>
      <w:color w:val="0000FF"/>
      <w:u w:val="single"/>
    </w:rPr>
  </w:style>
  <w:style w:type="character" w:customStyle="1" w:styleId="name">
    <w:name w:val="name"/>
    <w:basedOn w:val="DefaultParagraphFont"/>
    <w:uiPriority w:val="99"/>
    <w:rsid w:val="004912E2"/>
    <w:rPr>
      <w:rFonts w:cs="Times New Roman"/>
    </w:rPr>
  </w:style>
  <w:style w:type="character" w:customStyle="1" w:styleId="slug-vol">
    <w:name w:val="slug-vol"/>
    <w:basedOn w:val="DefaultParagraphFont"/>
    <w:uiPriority w:val="99"/>
    <w:rsid w:val="001E4270"/>
    <w:rPr>
      <w:rFonts w:cs="Times New Roman"/>
      <w:b/>
      <w:bCs/>
    </w:rPr>
  </w:style>
  <w:style w:type="character" w:customStyle="1" w:styleId="cit-sep1">
    <w:name w:val="cit-sep1"/>
    <w:basedOn w:val="DefaultParagraphFont"/>
    <w:uiPriority w:val="99"/>
    <w:rsid w:val="001E4270"/>
    <w:rPr>
      <w:rFonts w:cs="Times New Roman"/>
    </w:rPr>
  </w:style>
  <w:style w:type="character" w:customStyle="1" w:styleId="slug-doi2">
    <w:name w:val="slug-doi2"/>
    <w:basedOn w:val="DefaultParagraphFont"/>
    <w:uiPriority w:val="99"/>
    <w:rsid w:val="001E4270"/>
    <w:rPr>
      <w:rFonts w:cs="Times New Roman"/>
    </w:rPr>
  </w:style>
  <w:style w:type="character" w:customStyle="1" w:styleId="cit-title5">
    <w:name w:val="cit-title5"/>
    <w:basedOn w:val="DefaultParagraphFont"/>
    <w:uiPriority w:val="99"/>
    <w:rsid w:val="001E4270"/>
    <w:rPr>
      <w:rFonts w:cs="Times New Roman"/>
    </w:rPr>
  </w:style>
  <w:style w:type="character" w:customStyle="1" w:styleId="cit-sep2">
    <w:name w:val="cit-sep2"/>
    <w:basedOn w:val="DefaultParagraphFont"/>
    <w:uiPriority w:val="99"/>
    <w:rsid w:val="001E4270"/>
    <w:rPr>
      <w:rFonts w:cs="Times New Roman"/>
    </w:rPr>
  </w:style>
  <w:style w:type="character" w:customStyle="1" w:styleId="cit-subtitle">
    <w:name w:val="cit-subtitle"/>
    <w:basedOn w:val="DefaultParagraphFont"/>
    <w:uiPriority w:val="99"/>
    <w:rsid w:val="001E4270"/>
    <w:rPr>
      <w:rFonts w:cs="Times New Roman"/>
    </w:rPr>
  </w:style>
  <w:style w:type="character" w:customStyle="1" w:styleId="site-title">
    <w:name w:val="site-title"/>
    <w:basedOn w:val="DefaultParagraphFont"/>
    <w:uiPriority w:val="99"/>
    <w:rsid w:val="001E4270"/>
    <w:rPr>
      <w:rFonts w:cs="Times New Roman"/>
    </w:rPr>
  </w:style>
  <w:style w:type="character" w:customStyle="1" w:styleId="cit-print-date">
    <w:name w:val="cit-print-date"/>
    <w:basedOn w:val="DefaultParagraphFont"/>
    <w:uiPriority w:val="99"/>
    <w:rsid w:val="001E4270"/>
    <w:rPr>
      <w:rFonts w:cs="Times New Roman"/>
    </w:rPr>
  </w:style>
  <w:style w:type="character" w:customStyle="1" w:styleId="cit-vol">
    <w:name w:val="cit-vol"/>
    <w:basedOn w:val="DefaultParagraphFont"/>
    <w:uiPriority w:val="99"/>
    <w:rsid w:val="001E4270"/>
    <w:rPr>
      <w:rFonts w:cs="Times New Roman"/>
    </w:rPr>
  </w:style>
  <w:style w:type="character" w:customStyle="1" w:styleId="cit-first-page">
    <w:name w:val="cit-first-page"/>
    <w:basedOn w:val="DefaultParagraphFont"/>
    <w:uiPriority w:val="99"/>
    <w:rsid w:val="001E4270"/>
    <w:rPr>
      <w:rFonts w:cs="Times New Roman"/>
    </w:rPr>
  </w:style>
  <w:style w:type="character" w:customStyle="1" w:styleId="cit-last-page">
    <w:name w:val="cit-last-page"/>
    <w:basedOn w:val="DefaultParagraphFont"/>
    <w:uiPriority w:val="99"/>
    <w:rsid w:val="001E4270"/>
    <w:rPr>
      <w:rFonts w:cs="Times New Roman"/>
    </w:rPr>
  </w:style>
  <w:style w:type="character" w:customStyle="1" w:styleId="cit-doi3">
    <w:name w:val="cit-doi3"/>
    <w:basedOn w:val="DefaultParagraphFont"/>
    <w:uiPriority w:val="99"/>
    <w:rsid w:val="001E4270"/>
    <w:rPr>
      <w:rFonts w:cs="Times New Roman"/>
    </w:rPr>
  </w:style>
  <w:style w:type="character" w:customStyle="1" w:styleId="xref-sep">
    <w:name w:val="xref-sep"/>
    <w:basedOn w:val="DefaultParagraphFont"/>
    <w:uiPriority w:val="99"/>
    <w:rsid w:val="001E4270"/>
    <w:rPr>
      <w:rFonts w:cs="Times New Roman"/>
    </w:rPr>
  </w:style>
  <w:style w:type="paragraph" w:customStyle="1" w:styleId="s31">
    <w:name w:val="s31"/>
    <w:basedOn w:val="Normal"/>
    <w:uiPriority w:val="99"/>
    <w:rsid w:val="001E4270"/>
    <w:pPr>
      <w:spacing w:after="240"/>
      <w:ind w:left="2160" w:right="1440" w:hanging="720"/>
    </w:pPr>
  </w:style>
  <w:style w:type="paragraph" w:customStyle="1" w:styleId="s41">
    <w:name w:val="s41"/>
    <w:basedOn w:val="Normal"/>
    <w:uiPriority w:val="99"/>
    <w:rsid w:val="001E4270"/>
    <w:pPr>
      <w:spacing w:after="240"/>
      <w:ind w:left="2640" w:right="1920" w:hanging="720"/>
    </w:pPr>
  </w:style>
  <w:style w:type="paragraph" w:customStyle="1" w:styleId="s51">
    <w:name w:val="s51"/>
    <w:basedOn w:val="Normal"/>
    <w:uiPriority w:val="99"/>
    <w:rsid w:val="001E4270"/>
    <w:pPr>
      <w:spacing w:after="240"/>
      <w:ind w:left="3120" w:right="2400" w:hanging="720"/>
    </w:pPr>
  </w:style>
  <w:style w:type="paragraph" w:styleId="FootnoteText">
    <w:name w:val="footnote text"/>
    <w:basedOn w:val="Normal"/>
    <w:link w:val="FootnoteTextChar"/>
    <w:uiPriority w:val="99"/>
    <w:rsid w:val="003A0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007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A007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971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971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97177"/>
    <w:rPr>
      <w:rFonts w:cs="Times New Roman"/>
      <w:vertAlign w:val="superscript"/>
    </w:rPr>
  </w:style>
  <w:style w:type="paragraph" w:customStyle="1" w:styleId="Default">
    <w:name w:val="Default"/>
    <w:uiPriority w:val="99"/>
    <w:rsid w:val="004913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H1">
    <w:name w:val="H1"/>
    <w:basedOn w:val="Normal"/>
    <w:uiPriority w:val="99"/>
    <w:rsid w:val="00481152"/>
    <w:pPr>
      <w:keepNext/>
      <w:autoSpaceDE w:val="0"/>
      <w:autoSpaceDN w:val="0"/>
      <w:spacing w:before="100" w:after="100"/>
    </w:pPr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3F7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5A"/>
    <w:rPr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CF1B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DF2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782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F20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F2CEF"/>
    <w:rPr>
      <w:rFonts w:cs="Times New Roman"/>
      <w:color w:val="0000FF"/>
      <w:u w:val="single"/>
    </w:rPr>
  </w:style>
  <w:style w:type="character" w:customStyle="1" w:styleId="name">
    <w:name w:val="name"/>
    <w:basedOn w:val="DefaultParagraphFont"/>
    <w:uiPriority w:val="99"/>
    <w:rsid w:val="004912E2"/>
    <w:rPr>
      <w:rFonts w:cs="Times New Roman"/>
    </w:rPr>
  </w:style>
  <w:style w:type="character" w:customStyle="1" w:styleId="slug-vol">
    <w:name w:val="slug-vol"/>
    <w:basedOn w:val="DefaultParagraphFont"/>
    <w:uiPriority w:val="99"/>
    <w:rsid w:val="001E4270"/>
    <w:rPr>
      <w:rFonts w:cs="Times New Roman"/>
      <w:b/>
      <w:bCs/>
    </w:rPr>
  </w:style>
  <w:style w:type="character" w:customStyle="1" w:styleId="cit-sep1">
    <w:name w:val="cit-sep1"/>
    <w:basedOn w:val="DefaultParagraphFont"/>
    <w:uiPriority w:val="99"/>
    <w:rsid w:val="001E4270"/>
    <w:rPr>
      <w:rFonts w:cs="Times New Roman"/>
    </w:rPr>
  </w:style>
  <w:style w:type="character" w:customStyle="1" w:styleId="slug-doi2">
    <w:name w:val="slug-doi2"/>
    <w:basedOn w:val="DefaultParagraphFont"/>
    <w:uiPriority w:val="99"/>
    <w:rsid w:val="001E4270"/>
    <w:rPr>
      <w:rFonts w:cs="Times New Roman"/>
    </w:rPr>
  </w:style>
  <w:style w:type="character" w:customStyle="1" w:styleId="cit-title5">
    <w:name w:val="cit-title5"/>
    <w:basedOn w:val="DefaultParagraphFont"/>
    <w:uiPriority w:val="99"/>
    <w:rsid w:val="001E4270"/>
    <w:rPr>
      <w:rFonts w:cs="Times New Roman"/>
    </w:rPr>
  </w:style>
  <w:style w:type="character" w:customStyle="1" w:styleId="cit-sep2">
    <w:name w:val="cit-sep2"/>
    <w:basedOn w:val="DefaultParagraphFont"/>
    <w:uiPriority w:val="99"/>
    <w:rsid w:val="001E4270"/>
    <w:rPr>
      <w:rFonts w:cs="Times New Roman"/>
    </w:rPr>
  </w:style>
  <w:style w:type="character" w:customStyle="1" w:styleId="cit-subtitle">
    <w:name w:val="cit-subtitle"/>
    <w:basedOn w:val="DefaultParagraphFont"/>
    <w:uiPriority w:val="99"/>
    <w:rsid w:val="001E4270"/>
    <w:rPr>
      <w:rFonts w:cs="Times New Roman"/>
    </w:rPr>
  </w:style>
  <w:style w:type="character" w:customStyle="1" w:styleId="site-title">
    <w:name w:val="site-title"/>
    <w:basedOn w:val="DefaultParagraphFont"/>
    <w:uiPriority w:val="99"/>
    <w:rsid w:val="001E4270"/>
    <w:rPr>
      <w:rFonts w:cs="Times New Roman"/>
    </w:rPr>
  </w:style>
  <w:style w:type="character" w:customStyle="1" w:styleId="cit-print-date">
    <w:name w:val="cit-print-date"/>
    <w:basedOn w:val="DefaultParagraphFont"/>
    <w:uiPriority w:val="99"/>
    <w:rsid w:val="001E4270"/>
    <w:rPr>
      <w:rFonts w:cs="Times New Roman"/>
    </w:rPr>
  </w:style>
  <w:style w:type="character" w:customStyle="1" w:styleId="cit-vol">
    <w:name w:val="cit-vol"/>
    <w:basedOn w:val="DefaultParagraphFont"/>
    <w:uiPriority w:val="99"/>
    <w:rsid w:val="001E4270"/>
    <w:rPr>
      <w:rFonts w:cs="Times New Roman"/>
    </w:rPr>
  </w:style>
  <w:style w:type="character" w:customStyle="1" w:styleId="cit-first-page">
    <w:name w:val="cit-first-page"/>
    <w:basedOn w:val="DefaultParagraphFont"/>
    <w:uiPriority w:val="99"/>
    <w:rsid w:val="001E4270"/>
    <w:rPr>
      <w:rFonts w:cs="Times New Roman"/>
    </w:rPr>
  </w:style>
  <w:style w:type="character" w:customStyle="1" w:styleId="cit-last-page">
    <w:name w:val="cit-last-page"/>
    <w:basedOn w:val="DefaultParagraphFont"/>
    <w:uiPriority w:val="99"/>
    <w:rsid w:val="001E4270"/>
    <w:rPr>
      <w:rFonts w:cs="Times New Roman"/>
    </w:rPr>
  </w:style>
  <w:style w:type="character" w:customStyle="1" w:styleId="cit-doi3">
    <w:name w:val="cit-doi3"/>
    <w:basedOn w:val="DefaultParagraphFont"/>
    <w:uiPriority w:val="99"/>
    <w:rsid w:val="001E4270"/>
    <w:rPr>
      <w:rFonts w:cs="Times New Roman"/>
    </w:rPr>
  </w:style>
  <w:style w:type="character" w:customStyle="1" w:styleId="xref-sep">
    <w:name w:val="xref-sep"/>
    <w:basedOn w:val="DefaultParagraphFont"/>
    <w:uiPriority w:val="99"/>
    <w:rsid w:val="001E4270"/>
    <w:rPr>
      <w:rFonts w:cs="Times New Roman"/>
    </w:rPr>
  </w:style>
  <w:style w:type="paragraph" w:customStyle="1" w:styleId="s31">
    <w:name w:val="s31"/>
    <w:basedOn w:val="Normal"/>
    <w:uiPriority w:val="99"/>
    <w:rsid w:val="001E4270"/>
    <w:pPr>
      <w:spacing w:after="240"/>
      <w:ind w:left="2160" w:right="1440" w:hanging="720"/>
    </w:pPr>
  </w:style>
  <w:style w:type="paragraph" w:customStyle="1" w:styleId="s41">
    <w:name w:val="s41"/>
    <w:basedOn w:val="Normal"/>
    <w:uiPriority w:val="99"/>
    <w:rsid w:val="001E4270"/>
    <w:pPr>
      <w:spacing w:after="240"/>
      <w:ind w:left="2640" w:right="1920" w:hanging="720"/>
    </w:pPr>
  </w:style>
  <w:style w:type="paragraph" w:customStyle="1" w:styleId="s51">
    <w:name w:val="s51"/>
    <w:basedOn w:val="Normal"/>
    <w:uiPriority w:val="99"/>
    <w:rsid w:val="001E4270"/>
    <w:pPr>
      <w:spacing w:after="240"/>
      <w:ind w:left="3120" w:right="2400" w:hanging="720"/>
    </w:pPr>
  </w:style>
  <w:style w:type="paragraph" w:styleId="FootnoteText">
    <w:name w:val="footnote text"/>
    <w:basedOn w:val="Normal"/>
    <w:link w:val="FootnoteTextChar"/>
    <w:uiPriority w:val="99"/>
    <w:rsid w:val="003A0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007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A007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971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971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97177"/>
    <w:rPr>
      <w:rFonts w:cs="Times New Roman"/>
      <w:vertAlign w:val="superscript"/>
    </w:rPr>
  </w:style>
  <w:style w:type="paragraph" w:customStyle="1" w:styleId="Default">
    <w:name w:val="Default"/>
    <w:uiPriority w:val="99"/>
    <w:rsid w:val="004913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H1">
    <w:name w:val="H1"/>
    <w:basedOn w:val="Normal"/>
    <w:uiPriority w:val="99"/>
    <w:rsid w:val="00481152"/>
    <w:pPr>
      <w:keepNext/>
      <w:autoSpaceDE w:val="0"/>
      <w:autoSpaceDN w:val="0"/>
      <w:spacing w:before="100" w:after="100"/>
    </w:pPr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3F7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5A"/>
    <w:rPr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CF1B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9563284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2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839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4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08">
                  <w:marLeft w:val="96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4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ocket.access.gpo.gov/2010/pdf/2010-172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health.com/aa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7CF6-FFE3-4028-8FC4-2E184E5C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2536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Portal:  Background</vt:lpstr>
    </vt:vector>
  </TitlesOfParts>
  <Company>woodcocks</Company>
  <LinksUpToDate>false</LinksUpToDate>
  <CharactersWithSpaces>2951</CharactersWithSpaces>
  <SharedDoc>false</SharedDoc>
  <HLinks>
    <vt:vector size="12" baseType="variant"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http://edocket.access.gpo.gov/2010/pdf/2010-17207.pdf</vt:lpwstr>
      </vt:variant>
      <vt:variant>
        <vt:lpwstr/>
      </vt:variant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http://www.intuithealth.com/aafp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Portal:  Background</dc:title>
  <dc:creator>Rick</dc:creator>
  <cp:lastModifiedBy>crepetto</cp:lastModifiedBy>
  <cp:revision>3</cp:revision>
  <cp:lastPrinted>2010-09-29T18:21:00Z</cp:lastPrinted>
  <dcterms:created xsi:type="dcterms:W3CDTF">2010-10-01T14:34:00Z</dcterms:created>
  <dcterms:modified xsi:type="dcterms:W3CDTF">2010-10-13T20:37:00Z</dcterms:modified>
</cp:coreProperties>
</file>